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4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45"/>
        <w:gridCol w:w="3136"/>
        <w:gridCol w:w="2267"/>
        <w:gridCol w:w="2267"/>
        <w:gridCol w:w="2267"/>
        <w:gridCol w:w="1361"/>
        <w:gridCol w:w="906"/>
        <w:gridCol w:w="2267"/>
        <w:tblGridChange w:id="0">
          <w:tblGrid>
            <w:gridCol w:w="945"/>
            <w:gridCol w:w="3136"/>
            <w:gridCol w:w="2267"/>
            <w:gridCol w:w="2267"/>
            <w:gridCol w:w="2267"/>
            <w:gridCol w:w="1361"/>
            <w:gridCol w:w="906"/>
            <w:gridCol w:w="2267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Competenza chiave europea</w:t>
            </w:r>
          </w:p>
        </w:tc>
        <w:tc>
          <w:tcPr>
            <w:vMerge w:val="restart"/>
            <w:shd w:fill="d9ead3" w:val="clear"/>
            <w:vAlign w:val="center"/>
          </w:tcPr>
          <w:p w:rsidR="00000000" w:rsidDel="00000000" w:rsidP="00000000" w:rsidRDefault="00000000" w:rsidRPr="00000000" w14:paraId="00000003">
            <w:pPr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1. Obiettivi trasversali comuni alle discipline</w:t>
            </w:r>
          </w:p>
        </w:tc>
        <w:tc>
          <w:tcPr>
            <w:gridSpan w:val="6"/>
            <w:shd w:fill="f4cccc" w:val="clear"/>
          </w:tcPr>
          <w:p w:rsidR="00000000" w:rsidDel="00000000" w:rsidP="00000000" w:rsidRDefault="00000000" w:rsidRPr="00000000" w14:paraId="0000000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QUALITÁ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</w:p>
        </w:tc>
        <w:tc>
          <w:tcPr>
            <w:gridSpan w:val="2"/>
            <w:shd w:fill="cccccc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1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9fc5e8" w:val="clear"/>
            <w:vAlign w:val="center"/>
          </w:tcPr>
          <w:p w:rsidR="00000000" w:rsidDel="00000000" w:rsidP="00000000" w:rsidRDefault="00000000" w:rsidRPr="00000000" w14:paraId="00000012">
            <w:pPr>
              <w:ind w:right="113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4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personale, sociale e capacità di imparare a imparare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4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4025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Organizzi i materiali in classe in modo efficace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Organizzi autonomamente i materiali e gli strumenti didattici con cura e precisione; imposti i quaderni con ordine e senso logico; sai trovare soluzioni organizzative personali.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Organizzi autonomamente i materiali e gli strumenti didattici con cura; imposti i quaderni in modo ordinato e organizzato.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organizzi autonomamente  i materiali e gli strumenti didattici in modo funzionale; anche i quaderni lo sono.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organizzi autonomamente i materiali e gli strumenti didattici in modo funzionale; i quaderni sono abbastanza ordinati.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non porti con te il materiale e gli strumenti didattici, usi i quaderni in modo disordinato senza riuscire a ritrovare i tuoi lavori.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Gestisci il tempo in classe modo funzionale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Riesci sempre ad ultimare le attività assegnate con ordine e precisione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ad ultimare le attività con ordine e precisione.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quasi sempre ad ultimare le attività con discreto ordine e precisione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riesci ad ultimare le parti essenziali delle attività, con un ordine accettabile.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sfrutti a pieno  il tempo a disposizione per portare a termine le attività assegnate.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4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portare a termine i compiti assegnati entro le scadenze fissate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organizzare il tempo dello studio e dei compiti; sai individuare la modalità per te più efficace e variare le tecniche di studio e apprendimento.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sperimentando diverse tecniche di apprendimento.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riuscendo a rispettare le scadenze. Generalmente non usi tecniche consapevoli  per l’apprendimento.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 sulle fasi essenziali del lavoro riesci ad organizzare il  tempo dello studio e dei compiti.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Rispetti raramente le scadenze fissate.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C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Collabori in gruppo per raggiungere uno scopo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Nei lavori di gruppo collabori attivamente e produttivamente nel rispetto dei ruoli di ognuno. Riesci a guidare il gruppo nel definire l’organizzazione del lavoro e gli incarichi di ognuno, in modo che tutti abbiano un ruolo.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Porti a termine il tuo incarico con apporto personale  nei termini.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attivamente e produttivamente nel rispetto dei ruoli di ognuno. Hai un ruolo attivo nel definire l’organizzazione e gli incarichi di ognuno, in modo che tutti abbiano un ruolo. Porti a termine il tuo incarico nei termini.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con gli altri nel rispetto dei ruoli di ognuno. Aiuti nella definizione e organizzazione degli incarichi di ognuno e porti a termine gli incarichi assegnati.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accetti di collaborare con gli altri e aiuti nel definire e organizzare gli incarichi. Porti a termine le parti essenziali del tuo incarico nelle scadenze assegnate.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Il tuo apporto ai lavori di gruppo è parziale e spesso non porti a termine l’incarico che ti è stato assegnato.</w:t>
            </w:r>
          </w:p>
        </w:tc>
      </w:tr>
      <w:tr>
        <w:trPr>
          <w:cantSplit w:val="0"/>
          <w:trHeight w:val="663" w:hRule="atLeast"/>
          <w:tblHeader w:val="0"/>
        </w:trPr>
        <w:tc>
          <w:tcPr>
            <w:vMerge w:val="restart"/>
            <w:shd w:fill="ffe599" w:val="clear"/>
            <w:vAlign w:val="center"/>
          </w:tcPr>
          <w:p w:rsidR="00000000" w:rsidDel="00000000" w:rsidP="00000000" w:rsidRDefault="00000000" w:rsidRPr="00000000" w14:paraId="00000034">
            <w:pPr>
              <w:ind w:right="113"/>
              <w:rPr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ind w:right="113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5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imprenditoriale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5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6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chiedere aiuto quando ne hai bisogno e riesci ad aiutare i compagni quando ne sei in grado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porre le domande giuste per risolvere un problema e sai aiutare un compagno con le giuste indicazioni.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Poni in autonomia domande per risolvere un problema e quando puoi riesci ad aiutare un compagno con le giuste indicazioni.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 maggior parte delle volte poni domande che ti aiutano a risolvere un problema e aiuti come puoi un compagno fornendogli alcune indicazioni essenziali.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Vieni guidato su come risolvere le parti essenziali di un problema e poni in autonomia alcune domande.</w:t>
            </w:r>
          </w:p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fornire informazioni essenziali ai compagni.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poni domande o poni le domande sbagliate per risolvere una soluzione.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  <w:rtl w:val="0"/>
              </w:rPr>
              <w:t xml:space="preserve">Anche se consigliato, non cerchi una soluzione.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2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autovalutarti con consapevolezza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 termine di un percorso di apprendimento, conosci i tuoi punti di forza e di debolezza; per questi ultimi sai proporre all’insegnante soluzioni per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i tuoi punti di forza e di debolezza e con le indicazioni dell’insegnante riesci in autonomia a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alcuni dei tuoi punti di forza e di debolezza, mentre altri ti vengono indicati. Con le indicazioni dell’insegnante riesci a rafforzare alcuni dei tuoi punti di debolezza.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apprendimento, guidato dall’insegnante, conosci almeno un punto di forza e di debolezza. Condividi le indicazioni per rafforzare queste ultime.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sai dire come hai svolto un’attività, cosa potrebbe essere giusto e cosa potrebbe essere sbagliato.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A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Sei intraprendente nel cercare soluzioni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 fronte ad una difficoltà o a un compito nuovo riesci sempre a trovare una soluzione adatta.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con qualche indicazione, riesci in autonomia a trovare una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dopo che ti viene mostrata la strada per trovare la soluzione, sei autonomo nel portarla a termine.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Per risolvere una difficoltà o un compito nuovo, vieni guidato fino al raggiungimento delle fasi essenziali della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cerchi di trovare una soluzione ed anche quando ti viene proposta una strada non cerchi di percorrerla.</w:t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f9cb9c" w:val="clear"/>
            <w:vAlign w:val="center"/>
          </w:tcPr>
          <w:p w:rsidR="00000000" w:rsidDel="00000000" w:rsidP="00000000" w:rsidRDefault="00000000" w:rsidRPr="00000000" w14:paraId="00000052">
            <w:pPr>
              <w:ind w:right="113"/>
              <w:rPr>
                <w:rFonts w:ascii="Arial" w:cs="Arial" w:eastAsia="Arial" w:hAnsi="Arial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6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4760700" y="3953625"/>
                                <a:ext cx="27243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digitale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6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15113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ind w:left="113" w:right="113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ind w:left="113" w:right="113" w:firstLine="0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5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Utilizzi le tecnologie digitali per produrre ed elaborare dati e informazioni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 funzionali, precisi e chiari.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Sai produrre con una discreta competenza documenti, presentazioni, tabelle, grafici e altri contenuti digitali.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in modo essenziale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Produci contenuti digitali approssimati e sbrigativi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9cb9c" w:val="clear"/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D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utilizzare le tecnologie digitali come supporto alla creatività e alla soluzione di problemi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utilizzare le tecnologie digitali per realizzare contenuti approfonditi illustrati con creatività  personale.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le tecnologie per realizzare contenuti chiari e funzionali.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utilizzare, con qualche consiglio, le tecnologie per realizzare contenuti funzionali.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usi le tecnologie digitali per realizzare le parti essenziali di un compito.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Le tecnologie digitali sono per te una fonte di distrazione e raramente ti sono di supporto.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Merge w:val="restart"/>
            <w:shd w:fill="f1c232" w:val="clear"/>
          </w:tcPr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1c232" w:val="clear"/>
            <w:vAlign w:val="center"/>
          </w:tcPr>
          <w:p w:rsidR="00000000" w:rsidDel="00000000" w:rsidP="00000000" w:rsidRDefault="00000000" w:rsidRPr="00000000" w14:paraId="00000066">
            <w:pPr>
              <w:jc w:val="lef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2. </w:t>
            </w:r>
            <w:r w:rsidDel="00000000" w:rsidR="00000000" w:rsidRPr="00000000">
              <w:rPr>
                <w:b w:val="1"/>
                <w:rtl w:val="0"/>
              </w:rPr>
              <w:t xml:space="preserve">Obiettivi specifici della 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4cccc" w:val="clear"/>
          </w:tcPr>
          <w:p w:rsidR="00000000" w:rsidDel="00000000" w:rsidP="00000000" w:rsidRDefault="00000000" w:rsidRPr="00000000" w14:paraId="0000006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DI QUALITÀ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  <w:shd w:fill="f1c232" w:val="clear"/>
          </w:tcPr>
          <w:p w:rsidR="00000000" w:rsidDel="00000000" w:rsidP="00000000" w:rsidRDefault="00000000" w:rsidRPr="00000000" w14:paraId="0000006D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1c232" w:val="clear"/>
            <w:vAlign w:val="center"/>
          </w:tcPr>
          <w:p w:rsidR="00000000" w:rsidDel="00000000" w:rsidP="00000000" w:rsidRDefault="00000000" w:rsidRPr="00000000" w14:paraId="0000006E">
            <w:pPr>
              <w:spacing w:after="0" w:before="0" w:line="240" w:lineRule="auto"/>
              <w:ind w:left="0" w:firstLine="0"/>
              <w:jc w:val="center"/>
              <w:rPr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6F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cccccc" w:val="clea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2" w:hRule="atLeast"/>
          <w:tblHeader w:val="0"/>
        </w:trPr>
        <w:tc>
          <w:tcPr>
            <w:vMerge w:val="restart"/>
            <w:shd w:fill="f1c232" w:val="clear"/>
            <w:vAlign w:val="center"/>
          </w:tcPr>
          <w:p w:rsidR="00000000" w:rsidDel="00000000" w:rsidP="00000000" w:rsidRDefault="00000000" w:rsidRPr="00000000" w14:paraId="00000075">
            <w:pPr>
              <w:ind w:right="113"/>
              <w:rPr>
                <w:rFonts w:ascii="Calibri" w:cs="Calibri" w:eastAsia="Calibri" w:hAnsi="Calibri"/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5066"/>
                      <wp:effectExtent b="0" l="0" r="0" t="0"/>
                      <wp:docPr id="7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multilinguistica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5066"/>
                      <wp:effectExtent b="0" l="0" r="0" t="0"/>
                      <wp:docPr id="7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5066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Comprendi brevi messaggi orali relativi ad ambiti familiari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Comprendi autonomamente gli elementi principali di un discorso chiaro in lingua su argomenti familiari di interesse quotidiano.</w:t>
            </w:r>
          </w:p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riconoscere autonomamente parole ed espressioni molto semplici riferite a te stesso, alla famiglia e all’ambiente, purché espresse lentamente e chiaramente.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Comprendi gli elementi principali di un discorso chiaro in lingua su argomenti familiari di interesse quotidiano.</w:t>
            </w:r>
          </w:p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riconoscere parole ed espressioni molto semplici riferite a te stesso, alla famiglia e all’ambiente, purché espresse lentamente e chiaramente.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Comprendi, in modo discreto, gli elementi principali di un discorso chiaro in lingua su argomenti familiari di interesse quotidiano.</w:t>
            </w:r>
          </w:p>
          <w:p w:rsidR="00000000" w:rsidDel="00000000" w:rsidP="00000000" w:rsidRDefault="00000000" w:rsidRPr="00000000" w14:paraId="0000007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riconoscere, in modo discreto, parole ed espressioni molto semplici riferite a te stesso, alla famiglia e all’ambiente, purché espresse lentamente e chiaramente.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8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Comprendi, in modo minimo, gli elementi principali di un discorso chiaro in lingua su argomenti familiari di interesse quotidiano.</w:t>
            </w:r>
          </w:p>
          <w:p w:rsidR="00000000" w:rsidDel="00000000" w:rsidP="00000000" w:rsidRDefault="00000000" w:rsidRPr="00000000" w14:paraId="0000008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riconoscere, anche se con qualche incertezza, parole ed espressioni molto semplici riferite a te stesso, alla famiglia e all’ambiente, purché espresse lentamente e chiaramente.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Riconosci, con grande difficoltà, gli elementi principali di un discorso chiaro in lingua su argomenti familiari di interesse quotidiano.</w:t>
            </w:r>
          </w:p>
          <w:p w:rsidR="00000000" w:rsidDel="00000000" w:rsidP="00000000" w:rsidRDefault="00000000" w:rsidRPr="00000000" w14:paraId="0000008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Riconosci con grande difficoltà e in modo frammentario nomi, parole familiari e frasi molto semplici.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1c232" w:val="clear"/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8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Comunichi oralmente in attività che richiedono solo uno scambio di informazioni semplice e diretto su argomenti familiari e abituali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Conosci, in modo completo e sicuro, le strutture grammaticali e le funzioni comunicative di base necessarie a comprendere e scambiare semplici informazioni afferenti alla sfera personale.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un completo repertorio lessicale di base relativo alla sfera personale, familiare e alle abitudini quotidiane.</w:t>
            </w:r>
          </w:p>
          <w:p w:rsidR="00000000" w:rsidDel="00000000" w:rsidP="00000000" w:rsidRDefault="00000000" w:rsidRPr="00000000" w14:paraId="0000008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la corretta pronuncia di un repertorio di parole e frasi memorizzate di uso comune.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Conosci, in modo abbastanza completo, le strutture grammaticali e le funzioni comunicative di base necessarie a comprendere e scambiare semplici informazioni afferenti alla sfera personale.</w:t>
            </w:r>
          </w:p>
          <w:p w:rsidR="00000000" w:rsidDel="00000000" w:rsidP="00000000" w:rsidRDefault="00000000" w:rsidRPr="00000000" w14:paraId="0000008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un repertorio lessicale di base abbastanza completo, relativo alla sfera personale, familiare e alle abitudini quotidiane.</w:t>
            </w:r>
          </w:p>
          <w:p w:rsidR="00000000" w:rsidDel="00000000" w:rsidP="00000000" w:rsidRDefault="00000000" w:rsidRPr="00000000" w14:paraId="0000008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la corretta pronuncia di un repertorio di parole e frasi memorizzate di uso comune.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Conosci, in modo discreto, le strutture grammaticali e le funzioni comunicative di base necessarie a comprendere e scambiare semplici informazioni afferenti alla sfera personale.</w:t>
            </w:r>
          </w:p>
          <w:p w:rsidR="00000000" w:rsidDel="00000000" w:rsidP="00000000" w:rsidRDefault="00000000" w:rsidRPr="00000000" w14:paraId="0000009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un discreto repertorio lessicale di base relativo alla sfera personale, familiare e alle abitudini quotidiane.</w:t>
            </w:r>
          </w:p>
          <w:p w:rsidR="00000000" w:rsidDel="00000000" w:rsidP="00000000" w:rsidRDefault="00000000" w:rsidRPr="00000000" w14:paraId="0000009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la corretta pronuncia di un repertorio di parole e frasi memorizzate di uso comune.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9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le strutture grammaticali e le funzioni comunicative essenziali necessarie a comprendere e scambiare semplici informazioni afferenti alla sfera personale.</w:t>
            </w:r>
          </w:p>
          <w:p w:rsidR="00000000" w:rsidDel="00000000" w:rsidP="00000000" w:rsidRDefault="00000000" w:rsidRPr="00000000" w14:paraId="0000009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un essenziale repertorio lessicale di base relativo alla sfera personale, familiare e alle abitudini quotidiane. </w:t>
            </w:r>
          </w:p>
          <w:p w:rsidR="00000000" w:rsidDel="00000000" w:rsidP="00000000" w:rsidRDefault="00000000" w:rsidRPr="00000000" w14:paraId="0000009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la corretta  pronuncia di un repertorio limitato di parole e frasi memorizzate di uso comune.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Riconosci, con grande difficoltà, le strutture grammaticali e le funzioni comunicative necessarie a comprendere e scambiare semplici informazioni afferenti alla sfera personale.</w:t>
            </w:r>
          </w:p>
          <w:p w:rsidR="00000000" w:rsidDel="00000000" w:rsidP="00000000" w:rsidRDefault="00000000" w:rsidRPr="00000000" w14:paraId="0000009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un lacunoso repertorio lessicale di base relativo alla sfera personale, familiare e alle abitudini quotidiane.</w:t>
            </w:r>
          </w:p>
          <w:p w:rsidR="00000000" w:rsidDel="00000000" w:rsidP="00000000" w:rsidRDefault="00000000" w:rsidRPr="00000000" w14:paraId="0000009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la pronuncia in modo lacunoso.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1c232" w:val="clear"/>
            <w:vAlign w:val="center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2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Descrivi oralmente e per iscritto, in modo semplice, aspetti del tuo vissuto e del tuo ambiente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usare, in maniera completa, espressioni e frasi semplici per descrivere oralmente luoghi e persone conosciute.</w:t>
              <w:br w:type="textWrapping"/>
              <w:t xml:space="preserve">Sai anche scrivere, in modo completo e autonomo, brevi messaggi su argomenti quotidiani, usando strutture e vocaboli semplici e corretti.</w:t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un repertorio lessicale di base completo, relativo alla sfera personale, familiare e alle abitudini quotidiane.</w:t>
            </w:r>
          </w:p>
          <w:p w:rsidR="00000000" w:rsidDel="00000000" w:rsidP="00000000" w:rsidRDefault="00000000" w:rsidRPr="00000000" w14:paraId="000000A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la corretta pronuncia di un repertorio di parole e frasi memorizzate di uso comune.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usare, in maniera abbastanza completa, espressioni e frasi semplici per descrivere luoghi e persone conosciute.</w:t>
            </w:r>
          </w:p>
          <w:p w:rsidR="00000000" w:rsidDel="00000000" w:rsidP="00000000" w:rsidRDefault="00000000" w:rsidRPr="00000000" w14:paraId="000000A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anche scrivere, in modo abbastanza completo, brevi messaggi su argomenti quotidiani, usando strutture e vocaboli semplici e corretti.</w:t>
            </w:r>
          </w:p>
          <w:p w:rsidR="00000000" w:rsidDel="00000000" w:rsidP="00000000" w:rsidRDefault="00000000" w:rsidRPr="00000000" w14:paraId="000000A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un repertorio lessicale di base abbastanza completo, relativo alla sfera personale, familiare e alle abitudini quotidiane.</w:t>
            </w:r>
          </w:p>
          <w:p w:rsidR="00000000" w:rsidDel="00000000" w:rsidP="00000000" w:rsidRDefault="00000000" w:rsidRPr="00000000" w14:paraId="000000A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la corretta pronuncia di un repertorio di parole e frasi memorizzate di uso comune.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Ti esprimi oralmente in modo mnemonico con frasi semplici per descrivere luoghi e persone comuni. </w:t>
              <w:br w:type="textWrapping"/>
              <w:t xml:space="preserve">Sai scrivere brevi messaggi su argomenti quotidiani, riproducendo mnemonicamente strutture e vocaboli semplici e generalmente corretti. </w:t>
            </w:r>
          </w:p>
          <w:p w:rsidR="00000000" w:rsidDel="00000000" w:rsidP="00000000" w:rsidRDefault="00000000" w:rsidRPr="00000000" w14:paraId="000000A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un discreto repertorio lessicale di base relativo alla sfera personale, familiare e alle abitudini quotidiane.</w:t>
            </w:r>
          </w:p>
          <w:p w:rsidR="00000000" w:rsidDel="00000000" w:rsidP="00000000" w:rsidRDefault="00000000" w:rsidRPr="00000000" w14:paraId="000000A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la corretta pronuncia di un repertorio di parole e frasi memorizzate di uso comune.</w:t>
            </w:r>
          </w:p>
          <w:p w:rsidR="00000000" w:rsidDel="00000000" w:rsidP="00000000" w:rsidRDefault="00000000" w:rsidRPr="00000000" w14:paraId="000000B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B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Ti esprimi oralmente e per iscritto in modo incerto su argomenti quotidiani, riproducendo in maniera incerta strutture e vocaboli semplici.</w:t>
            </w:r>
          </w:p>
          <w:p w:rsidR="00000000" w:rsidDel="00000000" w:rsidP="00000000" w:rsidRDefault="00000000" w:rsidRPr="00000000" w14:paraId="000000B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un repertorio lessicale di base essenziale, relativo alla sfera personale, familiare e alle abitudini quotidiane. </w:t>
            </w:r>
          </w:p>
          <w:p w:rsidR="00000000" w:rsidDel="00000000" w:rsidP="00000000" w:rsidRDefault="00000000" w:rsidRPr="00000000" w14:paraId="000000B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la corretta  pronuncia di un repertorio limitato di parole e frasi memorizzate di uso comune.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Ti esprimi oralmente e per iscritto in modo stentato su argomenti quotidiani, riproducendo in maniera quasi sempre scorretta, sebbene guidata, strutture e vocaboli semplici.</w:t>
            </w:r>
          </w:p>
          <w:p w:rsidR="00000000" w:rsidDel="00000000" w:rsidP="00000000" w:rsidRDefault="00000000" w:rsidRPr="00000000" w14:paraId="000000B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un lacunoso repertorio lessicale di base relativo alla sfera personale, familiare e alle abitudini quotidiane.</w:t>
            </w:r>
          </w:p>
          <w:p w:rsidR="00000000" w:rsidDel="00000000" w:rsidP="00000000" w:rsidRDefault="00000000" w:rsidRPr="00000000" w14:paraId="000000B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la pronuncia in modo lacunoso.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1c232" w:val="clear"/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0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Leggi brevi e semplici testi con tecniche adeguate allo scopo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leggere e comprendere,  in modo completo, nomi, parole familiari e frasi molto semplici. </w:t>
            </w:r>
          </w:p>
          <w:p w:rsidR="00000000" w:rsidDel="00000000" w:rsidP="00000000" w:rsidRDefault="00000000" w:rsidRPr="00000000" w14:paraId="000000C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Sai, inoltre, comprendere globalmente il significato di semplici testi di vario tipo.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leggere e comprendere,  in modo abbastanza completo, nomi, parole familiari e frasi molto semplici.</w:t>
            </w:r>
          </w:p>
          <w:p w:rsidR="00000000" w:rsidDel="00000000" w:rsidP="00000000" w:rsidRDefault="00000000" w:rsidRPr="00000000" w14:paraId="000000C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Sai, inoltre, comprendere globalmente il significato di semplici testi di vario tipo.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leggere e comprendere, in modo discreto, nomi, parole familiari e frasi molto semplici. </w:t>
            </w:r>
          </w:p>
          <w:p w:rsidR="00000000" w:rsidDel="00000000" w:rsidP="00000000" w:rsidRDefault="00000000" w:rsidRPr="00000000" w14:paraId="000000C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Sai, inoltre, comprendere globalmente il significato di semplici testi di vario tipo.</w:t>
            </w:r>
          </w:p>
          <w:p w:rsidR="00000000" w:rsidDel="00000000" w:rsidP="00000000" w:rsidRDefault="00000000" w:rsidRPr="00000000" w14:paraId="000000C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C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leggere e comprendere, in modo minimo, nomi, parole familiari e frasi molto semplici. </w:t>
            </w:r>
          </w:p>
          <w:p w:rsidR="00000000" w:rsidDel="00000000" w:rsidP="00000000" w:rsidRDefault="00000000" w:rsidRPr="00000000" w14:paraId="000000C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Sai, inoltre, comprendere globalmente il significato di semplici testi di vario tipo, anche se con qualche incertezza.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Raramente riesci a leggere e comprendere nomi, parole familiari e frasi molto semplici.</w:t>
            </w:r>
          </w:p>
          <w:p w:rsidR="00000000" w:rsidDel="00000000" w:rsidP="00000000" w:rsidRDefault="00000000" w:rsidRPr="00000000" w14:paraId="000000C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Raramente riesci, inoltre, a comprendere il significato di semplici testi di vario tipo.</w:t>
            </w:r>
          </w:p>
        </w:tc>
      </w:tr>
    </w:tbl>
    <w:p w:rsidR="00000000" w:rsidDel="00000000" w:rsidP="00000000" w:rsidRDefault="00000000" w:rsidRPr="00000000" w14:paraId="000000D1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rPr>
          <w:shd w:fill="auto" w:val="clear"/>
        </w:rPr>
      </w:pPr>
      <w:r w:rsidDel="00000000" w:rsidR="00000000" w:rsidRPr="00000000">
        <w:rPr>
          <w:rtl w:val="0"/>
        </w:rPr>
        <w:t xml:space="preserve">Criteri per la trasposizione quadrimestrale disciplinare in voti decimali</w:t>
      </w:r>
      <w:r w:rsidDel="00000000" w:rsidR="00000000" w:rsidRPr="00000000">
        <w:rPr>
          <w:rtl w:val="0"/>
        </w:rPr>
      </w:r>
    </w:p>
    <w:tbl>
      <w:tblPr>
        <w:tblStyle w:val="Table2"/>
        <w:tblW w:w="1417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559"/>
        <w:gridCol w:w="4110"/>
        <w:gridCol w:w="8504"/>
        <w:tblGridChange w:id="0">
          <w:tblGrid>
            <w:gridCol w:w="1559"/>
            <w:gridCol w:w="4110"/>
            <w:gridCol w:w="8504"/>
          </w:tblGrid>
        </w:tblGridChange>
      </w:tblGrid>
      <w:tr>
        <w:trPr>
          <w:cantSplit w:val="0"/>
          <w:trHeight w:val="599.494628906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Voto</w:t>
            </w:r>
          </w:p>
        </w:tc>
        <w:tc>
          <w:tcPr/>
          <w:p w:rsidR="00000000" w:rsidDel="00000000" w:rsidP="00000000" w:rsidRDefault="00000000" w:rsidRPr="00000000" w14:paraId="000000D5">
            <w:pPr>
              <w:rPr/>
            </w:pPr>
            <w:r w:rsidDel="00000000" w:rsidR="00000000" w:rsidRPr="00000000">
              <w:rPr>
                <w:rtl w:val="0"/>
              </w:rPr>
              <w:t xml:space="preserve">Livelli di qualità raggiunti prevalentemente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6">
            <w:pPr>
              <w:rPr/>
            </w:pPr>
            <w:r w:rsidDel="00000000" w:rsidR="00000000" w:rsidRPr="00000000">
              <w:rPr>
                <w:rtl w:val="0"/>
              </w:rPr>
              <w:t xml:space="preserve">Criteri distintivi 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8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9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tutti gli obiettivi trasversali e disciplinari (con poche eccezioni).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DC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molti degli obiettivi disciplinari trasversali e disciplinari, mentre hai raggiunto in modo solido gli altri.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E">
            <w:pPr>
              <w:rPr/>
            </w:pPr>
            <w:r w:rsidDel="00000000" w:rsidR="00000000" w:rsidRPr="00000000">
              <w:rPr>
                <w:rtl w:val="0"/>
              </w:rPr>
              <w:t xml:space="preserve">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F">
            <w:pPr>
              <w:rPr/>
            </w:pPr>
            <w:r w:rsidDel="00000000" w:rsidR="00000000" w:rsidRPr="00000000">
              <w:rPr>
                <w:rtl w:val="0"/>
              </w:rPr>
              <w:t xml:space="preserve">Hai raggiunto tutti o quasi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1">
            <w:pPr>
              <w:rPr/>
            </w:pPr>
            <w:r w:rsidDel="00000000" w:rsidR="00000000" w:rsidRPr="00000000">
              <w:rPr>
                <w:rtl w:val="0"/>
              </w:rPr>
              <w:t xml:space="preserve">Parzialmente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E2">
            <w:pPr>
              <w:rPr/>
            </w:pPr>
            <w:r w:rsidDel="00000000" w:rsidR="00000000" w:rsidRPr="00000000">
              <w:rPr>
                <w:rtl w:val="0"/>
              </w:rPr>
              <w:t xml:space="preserve">Hai parzialmente raggiunto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4">
            <w:pPr>
              <w:rPr/>
            </w:pPr>
            <w:r w:rsidDel="00000000" w:rsidR="00000000" w:rsidRPr="00000000">
              <w:rPr>
                <w:rtl w:val="0"/>
              </w:rPr>
              <w:t xml:space="preserve">Iniziale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rPr/>
            </w:pPr>
            <w:r w:rsidDel="00000000" w:rsidR="00000000" w:rsidRPr="00000000">
              <w:rPr>
                <w:rtl w:val="0"/>
              </w:rPr>
              <w:t xml:space="preserve">Hai iniziato il  percorso verso il raggiungimento della maggior parte degli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7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E8">
            <w:pPr>
              <w:rPr/>
            </w:pPr>
            <w:r w:rsidDel="00000000" w:rsidR="00000000" w:rsidRPr="00000000">
              <w:rPr>
                <w:rtl w:val="0"/>
              </w:rPr>
              <w:t xml:space="preserve">Mentre per alcuni obiettivi trasversali e disciplinari hai iniziato il percorso per raggiungerli, per altrettanti non lo hai ancora avviato.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A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rPr/>
            </w:pPr>
            <w:r w:rsidDel="00000000" w:rsidR="00000000" w:rsidRPr="00000000">
              <w:rPr>
                <w:rtl w:val="0"/>
              </w:rPr>
              <w:t xml:space="preserve">Per la maggior parte degli obiettivi trasversali e disciplinari non hai ancora iniziato il tuo percorso per raggiungerli.</w:t>
            </w:r>
          </w:p>
        </w:tc>
      </w:tr>
    </w:tbl>
    <w:p w:rsidR="00000000" w:rsidDel="00000000" w:rsidP="00000000" w:rsidRDefault="00000000" w:rsidRPr="00000000" w14:paraId="000000E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rPr>
          <w:i w:val="1"/>
          <w:color w:val="0000ff"/>
          <w:u w:val="single"/>
          <w:shd w:fill="auto" w:val="clear"/>
        </w:rPr>
      </w:pPr>
      <w:r w:rsidDel="00000000" w:rsidR="00000000" w:rsidRPr="00000000">
        <w:rPr>
          <w:i w:val="1"/>
          <w:color w:val="0000ff"/>
          <w:u w:val="single"/>
          <w:rtl w:val="0"/>
        </w:rPr>
        <w:t xml:space="preserve">Se fosse una corsa: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Da raggiungere: devi ancora partire.</w:t>
      </w:r>
    </w:p>
    <w:p w:rsidR="00000000" w:rsidDel="00000000" w:rsidP="00000000" w:rsidRDefault="00000000" w:rsidRPr="00000000" w14:paraId="000000EF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Iniziale: hai iniziato a correre.</w:t>
      </w:r>
    </w:p>
    <w:p w:rsidR="00000000" w:rsidDel="00000000" w:rsidP="00000000" w:rsidRDefault="00000000" w:rsidRPr="00000000" w14:paraId="000000F0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Parzialmente raggiunto: stai aumentando l’andatura.</w:t>
      </w:r>
    </w:p>
    <w:p w:rsidR="00000000" w:rsidDel="00000000" w:rsidP="00000000" w:rsidRDefault="00000000" w:rsidRPr="00000000" w14:paraId="000000F1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Raggiunto: corri veloce e sicuro verso la destinazione.</w:t>
      </w:r>
    </w:p>
    <w:p w:rsidR="00000000" w:rsidDel="00000000" w:rsidP="00000000" w:rsidRDefault="00000000" w:rsidRPr="00000000" w14:paraId="000000F2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Pienamente raggiunto: Complimenti, hai raggiunto la tua meta! Ma preparati </w:t>
      </w:r>
      <w:r w:rsidDel="00000000" w:rsidR="00000000" w:rsidRPr="00000000">
        <w:rPr>
          <w:color w:val="0000ff"/>
          <w:rtl w:val="0"/>
        </w:rPr>
        <w:t xml:space="preserve">perchè</w:t>
      </w:r>
      <w:r w:rsidDel="00000000" w:rsidR="00000000" w:rsidRPr="00000000">
        <w:rPr>
          <w:color w:val="0000ff"/>
          <w:shd w:fill="auto" w:val="clear"/>
          <w:rtl w:val="0"/>
        </w:rPr>
        <w:t xml:space="preserve"> stai per correre verso un’altra destinazione.</w:t>
      </w:r>
    </w:p>
    <w:sectPr>
      <w:headerReference r:id="rId11" w:type="default"/>
      <w:pgSz w:h="11906" w:w="16838" w:orient="landscape"/>
      <w:pgMar w:bottom="567" w:top="567" w:left="567" w:right="567" w:header="135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3">
    <w:pPr>
      <w:rPr>
        <w:b w:val="1"/>
      </w:rPr>
    </w:pPr>
    <w:r w:rsidDel="00000000" w:rsidR="00000000" w:rsidRPr="00000000">
      <w:rPr>
        <w:rtl w:val="0"/>
      </w:rPr>
      <w:t xml:space="preserve">Rubrica riferita alla competenze chiave europee</w:t>
    </w:r>
    <w:r w:rsidDel="00000000" w:rsidR="00000000" w:rsidRPr="00000000">
      <w:rPr>
        <w:b w:val="1"/>
        <w:rtl w:val="0"/>
      </w:rPr>
      <w:t xml:space="preserve"> </w:t>
    </w:r>
    <w:r w:rsidDel="00000000" w:rsidR="00000000" w:rsidRPr="00000000">
      <w:rPr>
        <w:rtl w:val="0"/>
      </w:rPr>
      <w:t xml:space="preserve">- Scuola secondaria Gabriele D’Annunzio Jesolo lido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4">
    <w:pPr>
      <w:jc w:val="center"/>
      <w:rPr/>
    </w:pPr>
    <w:r w:rsidDel="00000000" w:rsidR="00000000" w:rsidRPr="00000000">
      <w:rPr>
        <w:rtl w:val="0"/>
      </w:rPr>
      <w:t xml:space="preserve">VALUTAZIONE FORMATIVA – </w:t>
    </w:r>
    <w:r w:rsidDel="00000000" w:rsidR="00000000" w:rsidRPr="00000000">
      <w:rPr>
        <w:b w:val="1"/>
        <w:rtl w:val="0"/>
      </w:rPr>
      <w:t xml:space="preserve">RUBRICA TEDESCO </w:t>
    </w:r>
    <w:r w:rsidDel="00000000" w:rsidR="00000000" w:rsidRPr="00000000">
      <w:rPr>
        <w:rtl w:val="0"/>
      </w:rPr>
      <w:t xml:space="preserve">– SECONDARIA PRIMO GRADO –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749">
    <w:name w:val="Intense Emphasis"/>
    <w:basedOn w:val="935"/>
    <w:uiPriority w:val="21"/>
    <w:qFormat w:val="1"/>
    <w:pPr>
      <w:pBdr/>
      <w:spacing/>
      <w:ind/>
    </w:pPr>
    <w:rPr>
      <w:i w:val="1"/>
      <w:iCs w:val="1"/>
      <w:color w:val="0f4761" w:themeColor="accent1" w:themeShade="0000BF"/>
    </w:rPr>
  </w:style>
  <w:style w:type="character" w:styleId="750">
    <w:name w:val="Intense Reference"/>
    <w:basedOn w:val="935"/>
    <w:uiPriority w:val="32"/>
    <w:qFormat w:val="1"/>
    <w:pPr>
      <w:pBdr/>
      <w:spacing/>
      <w:ind/>
    </w:pPr>
    <w:rPr>
      <w:b w:val="1"/>
      <w:bCs w:val="1"/>
      <w:smallCaps w:val="1"/>
      <w:color w:val="0f4761" w:themeColor="accent1" w:themeShade="0000BF"/>
      <w:spacing w:val="5"/>
    </w:rPr>
  </w:style>
  <w:style w:type="character" w:styleId="751">
    <w:name w:val="Subtle Emphasis"/>
    <w:basedOn w:val="935"/>
    <w:uiPriority w:val="19"/>
    <w:qFormat w:val="1"/>
    <w:pPr>
      <w:pBdr/>
      <w:spacing/>
      <w:ind/>
    </w:pPr>
    <w:rPr>
      <w:i w:val="1"/>
      <w:iCs w:val="1"/>
      <w:color w:val="404040" w:themeColor="text1" w:themeTint="0000BF"/>
    </w:rPr>
  </w:style>
  <w:style w:type="character" w:styleId="752">
    <w:name w:val="Emphasis"/>
    <w:basedOn w:val="935"/>
    <w:uiPriority w:val="20"/>
    <w:qFormat w:val="1"/>
    <w:pPr>
      <w:pBdr/>
      <w:spacing/>
      <w:ind/>
    </w:pPr>
    <w:rPr>
      <w:i w:val="1"/>
      <w:iCs w:val="1"/>
    </w:rPr>
  </w:style>
  <w:style w:type="character" w:styleId="753">
    <w:name w:val="Strong"/>
    <w:basedOn w:val="935"/>
    <w:uiPriority w:val="22"/>
    <w:qFormat w:val="1"/>
    <w:pPr>
      <w:pBdr/>
      <w:spacing/>
      <w:ind/>
    </w:pPr>
    <w:rPr>
      <w:b w:val="1"/>
      <w:bCs w:val="1"/>
    </w:rPr>
  </w:style>
  <w:style w:type="character" w:styleId="754">
    <w:name w:val="Subtle Reference"/>
    <w:basedOn w:val="935"/>
    <w:uiPriority w:val="31"/>
    <w:qFormat w:val="1"/>
    <w:pPr>
      <w:pBdr/>
      <w:spacing/>
      <w:ind/>
    </w:pPr>
    <w:rPr>
      <w:smallCaps w:val="1"/>
      <w:color w:val="5a5a5a" w:themeColor="text1" w:themeTint="0000A5"/>
    </w:rPr>
  </w:style>
  <w:style w:type="character" w:styleId="755">
    <w:name w:val="Book Title"/>
    <w:basedOn w:val="935"/>
    <w:uiPriority w:val="33"/>
    <w:qFormat w:val="1"/>
    <w:pPr>
      <w:pBdr/>
      <w:spacing/>
      <w:ind/>
    </w:pPr>
    <w:rPr>
      <w:b w:val="1"/>
      <w:bCs w:val="1"/>
      <w:i w:val="1"/>
      <w:iCs w:val="1"/>
      <w:spacing w:val="5"/>
    </w:rPr>
  </w:style>
  <w:style w:type="character" w:styleId="756">
    <w:name w:val="FollowedHyperlink"/>
    <w:basedOn w:val="935"/>
    <w:uiPriority w:val="99"/>
    <w:semiHidden w:val="1"/>
    <w:unhideWhenUsed w:val="1"/>
    <w:pPr>
      <w:pBdr/>
      <w:spacing/>
      <w:ind/>
    </w:pPr>
    <w:rPr>
      <w:color w:val="954f72" w:themeColor="followedHyperlink"/>
      <w:u w:val="single"/>
    </w:rPr>
  </w:style>
  <w:style w:type="character" w:styleId="757">
    <w:name w:val="Heading 1 Char"/>
    <w:basedOn w:val="935"/>
    <w:link w:val="927"/>
    <w:uiPriority w:val="9"/>
    <w:pPr>
      <w:pBdr/>
      <w:spacing/>
      <w:ind/>
    </w:pPr>
    <w:rPr>
      <w:rFonts w:ascii="Arial" w:cs="Arial" w:eastAsia="Arial" w:hAnsi="Arial"/>
      <w:sz w:val="40"/>
      <w:szCs w:val="40"/>
    </w:rPr>
  </w:style>
  <w:style w:type="character" w:styleId="758">
    <w:name w:val="Heading 2 Char"/>
    <w:basedOn w:val="935"/>
    <w:link w:val="928"/>
    <w:uiPriority w:val="9"/>
    <w:pPr>
      <w:pBdr/>
      <w:spacing/>
      <w:ind/>
    </w:pPr>
    <w:rPr>
      <w:rFonts w:ascii="Arial" w:cs="Arial" w:eastAsia="Arial" w:hAnsi="Arial"/>
      <w:sz w:val="34"/>
    </w:rPr>
  </w:style>
  <w:style w:type="character" w:styleId="759">
    <w:name w:val="Heading 3 Char"/>
    <w:basedOn w:val="935"/>
    <w:link w:val="929"/>
    <w:uiPriority w:val="9"/>
    <w:pPr>
      <w:pBdr/>
      <w:spacing/>
      <w:ind/>
    </w:pPr>
    <w:rPr>
      <w:rFonts w:ascii="Arial" w:cs="Arial" w:eastAsia="Arial" w:hAnsi="Arial"/>
      <w:sz w:val="30"/>
      <w:szCs w:val="30"/>
    </w:rPr>
  </w:style>
  <w:style w:type="character" w:styleId="760">
    <w:name w:val="Heading 4 Char"/>
    <w:basedOn w:val="935"/>
    <w:link w:val="930"/>
    <w:uiPriority w:val="9"/>
    <w:pPr>
      <w:pBdr/>
      <w:spacing/>
      <w:ind/>
    </w:pPr>
    <w:rPr>
      <w:rFonts w:ascii="Arial" w:cs="Arial" w:eastAsia="Arial" w:hAnsi="Arial"/>
      <w:b w:val="1"/>
      <w:bCs w:val="1"/>
      <w:sz w:val="26"/>
      <w:szCs w:val="26"/>
    </w:rPr>
  </w:style>
  <w:style w:type="character" w:styleId="761">
    <w:name w:val="Heading 5 Char"/>
    <w:basedOn w:val="935"/>
    <w:link w:val="931"/>
    <w:uiPriority w:val="9"/>
    <w:pPr>
      <w:pBdr/>
      <w:spacing/>
      <w:ind/>
    </w:pPr>
    <w:rPr>
      <w:rFonts w:ascii="Arial" w:cs="Arial" w:eastAsia="Arial" w:hAnsi="Arial"/>
      <w:b w:val="1"/>
      <w:bCs w:val="1"/>
      <w:sz w:val="24"/>
      <w:szCs w:val="24"/>
    </w:rPr>
  </w:style>
  <w:style w:type="character" w:styleId="762">
    <w:name w:val="Heading 6 Char"/>
    <w:basedOn w:val="935"/>
    <w:link w:val="932"/>
    <w:uiPriority w:val="9"/>
    <w:pPr>
      <w:pBdr/>
      <w:spacing/>
      <w:ind/>
    </w:pPr>
    <w:rPr>
      <w:rFonts w:ascii="Arial" w:cs="Arial" w:eastAsia="Arial" w:hAnsi="Arial"/>
      <w:b w:val="1"/>
      <w:bCs w:val="1"/>
      <w:sz w:val="22"/>
      <w:szCs w:val="22"/>
    </w:rPr>
  </w:style>
  <w:style w:type="paragraph" w:styleId="763">
    <w:name w:val="Heading 7"/>
    <w:basedOn w:val="934"/>
    <w:next w:val="934"/>
    <w:link w:val="764"/>
    <w:uiPriority w:val="9"/>
    <w:unhideWhenUsed w:val="1"/>
    <w:qFormat w:val="1"/>
    <w:pPr>
      <w:keepNext w:val="1"/>
      <w:keepLines w:val="1"/>
      <w:pBdr/>
      <w:spacing w:after="200" w:before="320"/>
      <w:ind/>
      <w:outlineLvl w:val="6"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character" w:styleId="764">
    <w:name w:val="Heading 7 Char"/>
    <w:basedOn w:val="935"/>
    <w:link w:val="763"/>
    <w:uiPriority w:val="9"/>
    <w:pPr>
      <w:pBdr/>
      <w:spacing/>
      <w:ind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paragraph" w:styleId="765">
    <w:name w:val="Heading 8"/>
    <w:basedOn w:val="934"/>
    <w:next w:val="934"/>
    <w:link w:val="766"/>
    <w:uiPriority w:val="9"/>
    <w:unhideWhenUsed w:val="1"/>
    <w:qFormat w:val="1"/>
    <w:pPr>
      <w:keepNext w:val="1"/>
      <w:keepLines w:val="1"/>
      <w:pBdr/>
      <w:spacing w:after="200" w:before="320"/>
      <w:ind/>
      <w:outlineLvl w:val="7"/>
    </w:pPr>
    <w:rPr>
      <w:rFonts w:ascii="Arial" w:cs="Arial" w:eastAsia="Arial" w:hAnsi="Arial"/>
      <w:i w:val="1"/>
      <w:iCs w:val="1"/>
      <w:sz w:val="22"/>
      <w:szCs w:val="22"/>
    </w:rPr>
  </w:style>
  <w:style w:type="character" w:styleId="766">
    <w:name w:val="Heading 8 Char"/>
    <w:basedOn w:val="935"/>
    <w:link w:val="765"/>
    <w:uiPriority w:val="9"/>
    <w:pPr>
      <w:pBdr/>
      <w:spacing/>
      <w:ind/>
    </w:pPr>
    <w:rPr>
      <w:rFonts w:ascii="Arial" w:cs="Arial" w:eastAsia="Arial" w:hAnsi="Arial"/>
      <w:i w:val="1"/>
      <w:iCs w:val="1"/>
      <w:sz w:val="22"/>
      <w:szCs w:val="22"/>
    </w:rPr>
  </w:style>
  <w:style w:type="paragraph" w:styleId="767">
    <w:name w:val="Heading 9"/>
    <w:basedOn w:val="934"/>
    <w:next w:val="934"/>
    <w:link w:val="768"/>
    <w:uiPriority w:val="9"/>
    <w:unhideWhenUsed w:val="1"/>
    <w:qFormat w:val="1"/>
    <w:pPr>
      <w:keepNext w:val="1"/>
      <w:keepLines w:val="1"/>
      <w:pBdr/>
      <w:spacing w:after="200" w:before="320"/>
      <w:ind/>
      <w:outlineLvl w:val="8"/>
    </w:pPr>
    <w:rPr>
      <w:rFonts w:ascii="Arial" w:cs="Arial" w:eastAsia="Arial" w:hAnsi="Arial"/>
      <w:i w:val="1"/>
      <w:iCs w:val="1"/>
      <w:sz w:val="21"/>
      <w:szCs w:val="21"/>
    </w:rPr>
  </w:style>
  <w:style w:type="character" w:styleId="768">
    <w:name w:val="Heading 9 Char"/>
    <w:basedOn w:val="935"/>
    <w:link w:val="767"/>
    <w:uiPriority w:val="9"/>
    <w:pPr>
      <w:pBdr/>
      <w:spacing/>
      <w:ind/>
    </w:pPr>
    <w:rPr>
      <w:rFonts w:ascii="Arial" w:cs="Arial" w:eastAsia="Arial" w:hAnsi="Arial"/>
      <w:i w:val="1"/>
      <w:iCs w:val="1"/>
      <w:sz w:val="21"/>
      <w:szCs w:val="21"/>
    </w:rPr>
  </w:style>
  <w:style w:type="paragraph" w:styleId="769">
    <w:name w:val="No Spacing"/>
    <w:uiPriority w:val="1"/>
    <w:qFormat w:val="1"/>
    <w:pPr>
      <w:pBdr/>
      <w:spacing w:after="0" w:before="0" w:line="240" w:lineRule="auto"/>
      <w:ind/>
    </w:pPr>
  </w:style>
  <w:style w:type="character" w:styleId="770">
    <w:name w:val="Title Char"/>
    <w:basedOn w:val="935"/>
    <w:link w:val="933"/>
    <w:uiPriority w:val="10"/>
    <w:pPr>
      <w:pBdr/>
      <w:spacing/>
      <w:ind/>
    </w:pPr>
    <w:rPr>
      <w:sz w:val="48"/>
      <w:szCs w:val="48"/>
    </w:rPr>
  </w:style>
  <w:style w:type="character" w:styleId="771">
    <w:name w:val="Subtitle Char"/>
    <w:basedOn w:val="935"/>
    <w:link w:val="940"/>
    <w:uiPriority w:val="11"/>
    <w:pPr>
      <w:pBdr/>
      <w:spacing/>
      <w:ind/>
    </w:pPr>
    <w:rPr>
      <w:sz w:val="24"/>
      <w:szCs w:val="24"/>
    </w:rPr>
  </w:style>
  <w:style w:type="paragraph" w:styleId="772">
    <w:name w:val="Quote"/>
    <w:basedOn w:val="934"/>
    <w:next w:val="934"/>
    <w:link w:val="773"/>
    <w:uiPriority w:val="29"/>
    <w:qFormat w:val="1"/>
    <w:pPr>
      <w:pBdr/>
      <w:spacing/>
      <w:ind w:left="720" w:right="720"/>
    </w:pPr>
    <w:rPr>
      <w:i w:val="1"/>
    </w:rPr>
  </w:style>
  <w:style w:type="character" w:styleId="773">
    <w:name w:val="Quote Char"/>
    <w:link w:val="772"/>
    <w:uiPriority w:val="29"/>
    <w:pPr>
      <w:pBdr/>
      <w:spacing/>
      <w:ind/>
    </w:pPr>
    <w:rPr>
      <w:i w:val="1"/>
    </w:rPr>
  </w:style>
  <w:style w:type="paragraph" w:styleId="774">
    <w:name w:val="Intense Quote"/>
    <w:basedOn w:val="934"/>
    <w:next w:val="934"/>
    <w:link w:val="775"/>
    <w:uiPriority w:val="30"/>
    <w:qFormat w:val="1"/>
    <w:pPr>
      <w:pBdr>
        <w:top w:color="ffffff" w:space="5" w:sz="4" w:val="single"/>
        <w:left w:color="ffffff" w:space="10" w:sz="4" w:val="single"/>
        <w:bottom w:color="ffffff" w:space="5" w:sz="4" w:val="single"/>
        <w:right w:color="ffffff" w:space="10" w:sz="4" w:val="single"/>
      </w:pBdr>
      <w:shd w:color="auto" w:fill="f2f2f2" w:val="clear"/>
      <w:spacing/>
      <w:ind w:left="720" w:right="720"/>
      <w:contextualSpacing w:val="0"/>
    </w:pPr>
    <w:rPr>
      <w:i w:val="1"/>
    </w:rPr>
  </w:style>
  <w:style w:type="character" w:styleId="775">
    <w:name w:val="Intense Quote Char"/>
    <w:link w:val="774"/>
    <w:uiPriority w:val="30"/>
    <w:pPr>
      <w:pBdr/>
      <w:spacing/>
      <w:ind/>
    </w:pPr>
    <w:rPr>
      <w:i w:val="1"/>
    </w:rPr>
  </w:style>
  <w:style w:type="paragraph" w:styleId="776">
    <w:name w:val="Header"/>
    <w:basedOn w:val="934"/>
    <w:link w:val="777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7">
    <w:name w:val="Header Char"/>
    <w:basedOn w:val="935"/>
    <w:link w:val="776"/>
    <w:uiPriority w:val="99"/>
    <w:pPr>
      <w:pBdr/>
      <w:spacing/>
      <w:ind/>
    </w:pPr>
  </w:style>
  <w:style w:type="paragraph" w:styleId="778">
    <w:name w:val="Footer"/>
    <w:basedOn w:val="934"/>
    <w:link w:val="781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9">
    <w:name w:val="Footer Char"/>
    <w:basedOn w:val="935"/>
    <w:link w:val="778"/>
    <w:uiPriority w:val="99"/>
    <w:pPr>
      <w:pBdr/>
      <w:spacing/>
      <w:ind/>
    </w:pPr>
  </w:style>
  <w:style w:type="paragraph" w:styleId="780">
    <w:name w:val="Caption"/>
    <w:basedOn w:val="934"/>
    <w:next w:val="934"/>
    <w:uiPriority w:val="35"/>
    <w:semiHidden w:val="1"/>
    <w:unhideWhenUsed w:val="1"/>
    <w:qFormat w:val="1"/>
    <w:pPr>
      <w:pBdr/>
      <w:spacing w:line="276" w:lineRule="auto"/>
      <w:ind/>
    </w:pPr>
    <w:rPr>
      <w:b w:val="1"/>
      <w:bCs w:val="1"/>
      <w:color w:val="4f81bd" w:themeColor="accent1"/>
      <w:sz w:val="18"/>
      <w:szCs w:val="18"/>
    </w:rPr>
  </w:style>
  <w:style w:type="character" w:styleId="781">
    <w:name w:val="Caption Char"/>
    <w:basedOn w:val="780"/>
    <w:link w:val="778"/>
    <w:uiPriority w:val="99"/>
    <w:pPr>
      <w:pBdr/>
      <w:spacing/>
      <w:ind/>
    </w:pPr>
  </w:style>
  <w:style w:type="table" w:styleId="782">
    <w:name w:val="Table Grid Light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Plain Table 1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Plain Table 2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val="single"/>
        <w:left w:color="000000" w:space="0" w:sz="4" w:themeColor="text1" w:val="none"/>
        <w:bottom w:color="000000" w:space="0" w:sz="4" w:themeColor="text1" w:val="single"/>
        <w:right w:color="000000" w:space="0" w:sz="4" w:themeColor="text1" w:val="non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Plain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404040" w:space="0" w:sz="4" w:val="single"/>
        </w:tcBorders>
      </w:tcPr>
    </w:tblStylePr>
    <w:tblStylePr w:type="fir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404040" w:space="0" w:sz="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Plain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Plain Table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right w:color="404040" w:space="0" w:sz="4" w:val="single"/>
        </w:tcBorders>
        <w:shd w:color="ffffff" w:val="clear"/>
      </w:tcPr>
    </w:tblStylePr>
    <w:tblStylePr w:type="fir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000000" w:space="0" w:sz="4" w:val="none"/>
          <w:bottom w:color="404040" w:space="0" w:sz="4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404040" w:space="0" w:sz="4" w:val="single"/>
        </w:tcBorders>
        <w:shd w:color="ffffff" w:val="clear"/>
      </w:tcPr>
    </w:tblStylePr>
    <w:tblStylePr w:type="la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404040" w:space="0" w:sz="4" w:val="single"/>
          <w:left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67" w:val="single"/>
        <w:left w:color="000000" w:space="0" w:sz="4" w:themeColor="text1" w:themeTint="000067" w:val="single"/>
        <w:bottom w:color="000000" w:space="0" w:sz="4" w:themeColor="text1" w:themeTint="000067" w:val="single"/>
        <w:right w:color="000000" w:space="0" w:sz="4" w:themeColor="text1" w:themeTint="000067" w:val="single"/>
        <w:insideH w:color="000000" w:space="0" w:sz="4" w:themeColor="text1" w:themeTint="000067" w:val="single"/>
        <w:insideV w:color="000000" w:space="0" w:sz="4" w:themeColor="tex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67" w:val="single"/>
          <w:left w:color="000000" w:space="0" w:sz="4" w:themeColor="text1" w:themeTint="000067" w:val="single"/>
          <w:bottom w:color="000000" w:space="0" w:sz="4" w:themeColor="text1" w:themeTint="000067" w:val="single"/>
          <w:right w:color="000000" w:space="0" w:sz="4" w:themeColor="tex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tex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2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3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4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5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6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text1" w:themeTint="00009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themeTint="00009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1" w:themeTint="0000E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2" w:themeTint="000097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3" w:themeTint="0000FE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4" w:themeTint="00009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6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left w:color="000000" w:space="0" w:sz="4" w:themeColor="text1" w:themeTint="000090" w:val="single"/>
        <w:bottom w:color="000000" w:space="0" w:sz="4" w:themeColor="text1" w:themeTint="000090" w:val="single"/>
        <w:right w:color="000000" w:space="0" w:sz="4" w:themeColor="text1" w:themeTint="000090" w:val="single"/>
        <w:insideH w:color="000000" w:space="0" w:sz="4" w:themeColor="text1" w:themeTint="000090" w:val="single"/>
        <w:insideV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</w:tcBorders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Grid Table 4 - Accent 1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  <w:insideV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themeColor="accent1" w:themeTint="0000EA" w:val="single"/>
          <w:bottom w:color="000000" w:space="0" w:sz="4" w:themeColor="accent1" w:themeTint="0000EA" w:val="single"/>
          <w:right w:color="000000" w:space="0" w:sz="4" w:themeColor="accent1" w:themeTint="0000EA" w:val="single"/>
        </w:tcBorders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Grid Table 4 - Accent 2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  <w:insideV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themeColor="accent2" w:themeTint="000097" w:val="single"/>
          <w:bottom w:color="000000" w:space="0" w:sz="4" w:themeColor="accent2" w:themeTint="000097" w:val="single"/>
          <w:right w:color="000000" w:space="0" w:sz="4" w:themeColor="accent2" w:themeTint="000097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Grid Table 4 - Accent 3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  <w:insideV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themeColor="accent3" w:themeTint="0000FE" w:val="single"/>
          <w:bottom w:color="000000" w:space="0" w:sz="4" w:themeColor="accent3" w:themeTint="0000FE" w:val="single"/>
          <w:right w:color="000000" w:space="0" w:sz="4" w:themeColor="accent3" w:themeTint="0000FE" w:val="single"/>
        </w:tcBorders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4 - Accent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  <w:insideV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themeColor="accent4" w:themeTint="00009A" w:val="single"/>
          <w:bottom w:color="000000" w:space="0" w:sz="4" w:themeColor="accent4" w:themeTint="00009A" w:val="single"/>
          <w:right w:color="000000" w:space="0" w:sz="4" w:themeColor="accent4" w:themeTint="00009A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4 - Accent 5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5" w:val="single"/>
          <w:left w:color="000000" w:space="0" w:sz="4" w:themeColor="accent5" w:val="single"/>
          <w:bottom w:color="000000" w:space="0" w:sz="4" w:themeColor="accent5" w:val="single"/>
          <w:right w:color="000000" w:space="0" w:sz="4" w:themeColor="accent5" w:val="single"/>
        </w:tcBorders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4 - Accent 6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6" w:val="single"/>
          <w:left w:color="000000" w:space="0" w:sz="4" w:themeColor="accent6" w:val="single"/>
          <w:bottom w:color="000000" w:space="0" w:sz="4" w:themeColor="accent6" w:val="single"/>
          <w:right w:color="000000" w:space="0" w:sz="4" w:themeColor="accent6" w:val="single"/>
        </w:tcBorders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bfbfbf" w:themeColor="text1" w:themeFill="text1" w:themeFillTint="000040" w:themeTint="00004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000000" w:themeColor="text1" w:themeFill="tex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5 Dark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9e2f2" w:themeColor="accent1" w:themeFill="accent1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4472c4" w:themeColor="accent1" w:themeFill="accen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be5d6" w:themeColor="accent2" w:themeFill="accent2" w:themeFillTint="000032" w:themeTint="000032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ed7d31" w:themeColor="accent2" w:themeFill="accent2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deded" w:themeColor="accent3" w:themeFill="accent3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a5a5a5" w:themeColor="accent3" w:themeFill="accent3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5 Dark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ef2cb" w:themeColor="accent4" w:themeFill="accent4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ffc000" w:themeColor="accent4" w:themeFill="accent4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debf6" w:themeColor="accent5" w:themeFill="accent5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2efd8" w:themeColor="accent6" w:themeFill="accent6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left w:color="000000" w:space="0" w:sz="4" w:themeColor="text1" w:themeTint="000080" w:val="single"/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24">
    <w:name w:val="Grid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80" w:val="single"/>
        <w:left w:color="000000" w:space="0" w:sz="4" w:themeColor="accent1" w:themeTint="000080" w:val="single"/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>
          <w:bottom w:color="000000" w:space="0" w:sz="12" w:themeColor="accen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</w:style>
  <w:style w:type="table" w:styleId="825">
    <w:name w:val="Grid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26">
    <w:name w:val="Grid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FE" w:val="single"/>
        <w:left w:color="000000" w:space="0" w:sz="4" w:themeColor="accent3" w:themeTint="0000FE" w:val="single"/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>
          <w:bottom w:color="000000" w:space="0" w:sz="12" w:themeColor="accent3" w:themeTint="0000FE" w:val="single"/>
        </w:tcBorders>
      </w:tcPr>
    </w:tblStylePr>
    <w:tblStylePr w:type="la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</w:style>
  <w:style w:type="table" w:styleId="827">
    <w:name w:val="Grid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28">
    <w:name w:val="Grid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val="single"/>
        <w:left w:color="000000" w:space="0" w:sz="4" w:themeColor="accent5" w:val="single"/>
        <w:bottom w:color="000000" w:space="0" w:sz="4" w:themeColor="accent5" w:val="single"/>
        <w:right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5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29">
    <w:name w:val="Grid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val="single"/>
        <w:left w:color="000000" w:space="0" w:sz="4" w:themeColor="accent6" w:val="single"/>
        <w:bottom w:color="000000" w:space="0" w:sz="4" w:themeColor="accent6" w:val="single"/>
        <w:right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6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30">
    <w:name w:val="Grid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themeColor="accen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FE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FE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FE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bottom w:color="000000" w:space="0" w:sz="4" w:themeColor="text1" w:themeTint="000090" w:val="single"/>
        <w:insideH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bottom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bottom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bottom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bottom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bottom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bottom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left w:color="000000" w:space="0" w:sz="4" w:themeColor="accent1" w:val="single"/>
        <w:bottom w:color="000000" w:space="0" w:sz="4" w:themeColor="accent1" w:val="single"/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val="single"/>
          <w:bottom w:color="000000" w:space="0" w:sz="4" w:themeColor="accen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1" w:val="single"/>
          <w:right w:color="000000" w:space="0" w:sz="4" w:themeColor="accen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97" w:val="single"/>
          <w:bottom w:color="000000" w:space="0" w:sz="4" w:themeColor="accent2" w:themeTint="000097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2" w:themeTint="000097" w:val="single"/>
          <w:right w:color="000000" w:space="0" w:sz="4" w:themeColor="accent2" w:themeTint="000097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left w:color="000000" w:space="0" w:sz="4" w:themeColor="accent3" w:themeTint="000098" w:val="single"/>
        <w:bottom w:color="000000" w:space="0" w:sz="4" w:themeColor="accent3" w:themeTint="000098" w:val="single"/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98" w:val="single"/>
          <w:bottom w:color="000000" w:space="0" w:sz="4" w:themeColor="accent3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3" w:themeTint="000098" w:val="single"/>
          <w:right w:color="000000" w:space="0" w:sz="4" w:themeColor="accent3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9A" w:val="single"/>
          <w:bottom w:color="000000" w:space="0" w:sz="4" w:themeColor="accent4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4" w:themeTint="00009A" w:val="single"/>
          <w:right w:color="000000" w:space="0" w:sz="4" w:themeColor="accent4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left w:color="000000" w:space="0" w:sz="4" w:themeColor="accent5" w:themeTint="00009A" w:val="single"/>
        <w:bottom w:color="000000" w:space="0" w:sz="4" w:themeColor="accent5" w:themeTint="00009A" w:val="single"/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9A" w:val="single"/>
          <w:bottom w:color="000000" w:space="0" w:sz="4" w:themeColor="accent5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5" w:themeTint="00009A" w:val="single"/>
          <w:right w:color="000000" w:space="0" w:sz="4" w:themeColor="accent5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left w:color="000000" w:space="0" w:sz="4" w:themeColor="accent6" w:themeTint="000098" w:val="single"/>
        <w:bottom w:color="000000" w:space="0" w:sz="4" w:themeColor="accent6" w:themeTint="000098" w:val="single"/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98" w:val="single"/>
          <w:bottom w:color="000000" w:space="0" w:sz="4" w:themeColor="accent6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6" w:themeTint="000098" w:val="single"/>
          <w:right w:color="000000" w:space="0" w:sz="4" w:themeColor="accent6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st Table 4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st Table 4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st Table 4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4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4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4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text1" w:themeTint="000080" w:val="single"/>
        <w:left w:color="000000" w:space="0" w:sz="32" w:themeColor="text1" w:themeTint="000080" w:val="single"/>
        <w:bottom w:color="000000" w:space="0" w:sz="32" w:themeColor="text1" w:themeTint="000080" w:val="single"/>
        <w:right w:color="000000" w:space="0" w:sz="32" w:themeColor="text1" w:themeTint="000080" w:val="single"/>
      </w:tblBorders>
      <w:shd w:color="ffffff" w:fill="7f7f7f" w:themeColor="text1" w:themeFill="text1" w:themeFillTint="000080" w:themeTint="00008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text1" w:themeTint="000080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text1" w:themeTint="000080" w:val="single"/>
          <w:bottom w:color="000000" w:space="0" w:sz="12" w:themeColor="light1" w:val="single"/>
        </w:tcBorders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6">
    <w:name w:val="List Table 5 Dark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1" w:val="single"/>
        <w:left w:color="000000" w:space="0" w:sz="32" w:themeColor="accent1" w:val="single"/>
        <w:bottom w:color="000000" w:space="0" w:sz="32" w:themeColor="accent1" w:val="single"/>
        <w:right w:color="000000" w:space="0" w:sz="32" w:themeColor="accent1" w:val="single"/>
      </w:tblBorders>
      <w:shd w:color="ffffff" w:fill="4472c4" w:themeColor="accent1" w:themeFill="accent1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4472c4" w:themeColor="accent1" w:themeFill="accent1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1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1" w:val="single"/>
          <w:bottom w:color="000000" w:space="0" w:sz="12" w:themeColor="light1" w:val="single"/>
        </w:tcBorders>
        <w:shd w:color="ffffff" w:fill="4472c4" w:themeColor="accent1" w:themeFill="accent1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7">
    <w:name w:val="List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2" w:themeTint="000097" w:val="single"/>
        <w:left w:color="000000" w:space="0" w:sz="32" w:themeColor="accent2" w:themeTint="000097" w:val="single"/>
        <w:bottom w:color="000000" w:space="0" w:sz="32" w:themeColor="accent2" w:themeTint="000097" w:val="single"/>
        <w:right w:color="000000" w:space="0" w:sz="32" w:themeColor="accent2" w:themeTint="000097" w:val="single"/>
      </w:tblBorders>
      <w:shd w:color="ffffff" w:fill="f4b185" w:themeColor="accent2" w:themeFill="accent2" w:themeFillTint="000097" w:themeTint="000097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2" w:themeTint="000097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2" w:themeTint="000097" w:val="single"/>
          <w:bottom w:color="000000" w:space="0" w:sz="12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8">
    <w:name w:val="List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3" w:themeTint="000098" w:val="single"/>
        <w:left w:color="000000" w:space="0" w:sz="32" w:themeColor="accent3" w:themeTint="000098" w:val="single"/>
        <w:bottom w:color="000000" w:space="0" w:sz="32" w:themeColor="accent3" w:themeTint="000098" w:val="single"/>
        <w:right w:color="000000" w:space="0" w:sz="32" w:themeColor="accent3" w:themeTint="000098" w:val="single"/>
      </w:tblBorders>
      <w:shd w:color="ffffff" w:fill="c9c9c9" w:themeColor="accent3" w:themeFill="accent3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3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3" w:themeTint="000098" w:val="single"/>
          <w:bottom w:color="000000" w:space="0" w:sz="12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9">
    <w:name w:val="List Table 5 Dark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4" w:themeTint="00009A" w:val="single"/>
        <w:left w:color="000000" w:space="0" w:sz="32" w:themeColor="accent4" w:themeTint="00009A" w:val="single"/>
        <w:bottom w:color="000000" w:space="0" w:sz="32" w:themeColor="accent4" w:themeTint="00009A" w:val="single"/>
        <w:right w:color="000000" w:space="0" w:sz="32" w:themeColor="accent4" w:themeTint="00009A" w:val="single"/>
      </w:tblBorders>
      <w:shd w:color="ffffff" w:fill="ffd864" w:themeColor="accent4" w:themeFill="accent4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4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4" w:themeTint="00009A" w:val="single"/>
          <w:bottom w:color="000000" w:space="0" w:sz="12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0">
    <w:name w:val="List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5" w:themeTint="00009A" w:val="single"/>
        <w:left w:color="000000" w:space="0" w:sz="32" w:themeColor="accent5" w:themeTint="00009A" w:val="single"/>
        <w:bottom w:color="000000" w:space="0" w:sz="32" w:themeColor="accent5" w:themeTint="00009A" w:val="single"/>
        <w:right w:color="000000" w:space="0" w:sz="32" w:themeColor="accent5" w:themeTint="00009A" w:val="single"/>
      </w:tblBorders>
      <w:shd w:color="ffffff" w:fill="9cc4e5" w:themeColor="accent5" w:themeFill="accent5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5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5" w:themeTint="00009A" w:val="single"/>
          <w:bottom w:color="000000" w:space="0" w:sz="12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1">
    <w:name w:val="List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6" w:themeTint="000098" w:val="single"/>
        <w:left w:color="000000" w:space="0" w:sz="32" w:themeColor="accent6" w:themeTint="000098" w:val="single"/>
        <w:bottom w:color="000000" w:space="0" w:sz="32" w:themeColor="accent6" w:themeTint="000098" w:val="single"/>
        <w:right w:color="000000" w:space="0" w:sz="32" w:themeColor="accent6" w:themeTint="000098" w:val="single"/>
      </w:tblBorders>
      <w:shd w:color="ffffff" w:fill="aad08f" w:themeColor="accent6" w:themeFill="accent6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6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6" w:themeTint="000098" w:val="single"/>
          <w:bottom w:color="000000" w:space="0" w:sz="12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2">
    <w:name w:val="List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bottom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bottom w:color="000000" w:space="0" w:sz="4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top w:color="000000" w:space="0" w:sz="4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bottom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bottom w:color="000000" w:space="0" w:sz="4" w:themeColor="accent1" w:val="single"/>
        </w:tcBorders>
      </w:tcPr>
    </w:tblStylePr>
    <w:tblStylePr w:type="la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top w:color="000000" w:space="0" w:sz="4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bottom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4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bottom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bottom w:color="000000" w:space="0" w:sz="4" w:themeColor="accent3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top w:color="000000" w:space="0" w:sz="4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bottom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4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bottom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bottom w:color="000000" w:space="0" w:sz="4" w:themeColor="accent5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top w:color="000000" w:space="0" w:sz="4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bottom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bottom w:color="000000" w:space="0" w:sz="4" w:themeColor="accent6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top w:color="000000" w:space="0" w:sz="4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80">
    <w:name w:val="List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</w:style>
  <w:style w:type="table" w:styleId="881">
    <w:name w:val="List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82">
    <w:name w:val="List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themeColor="accent3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</w:style>
  <w:style w:type="table" w:styleId="883">
    <w:name w:val="List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84">
    <w:name w:val="List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themeColor="accent5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</w:style>
  <w:style w:type="table" w:styleId="885">
    <w:name w:val="List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themeColor="accent6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</w:style>
  <w:style w:type="table" w:styleId="886">
    <w:name w:val="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Bordered &amp; 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text1" w:themeTint="0000A6" w:val="single"/>
        <w:left w:color="000000" w:space="0" w:sz="4" w:themeColor="text1" w:themeTint="0000A6" w:val="single"/>
        <w:bottom w:color="000000" w:space="0" w:sz="4" w:themeColor="text1" w:themeTint="0000A6" w:val="single"/>
        <w:right w:color="000000" w:space="0" w:sz="4" w:themeColor="text1" w:themeTint="0000A6" w:val="single"/>
        <w:insideH w:color="000000" w:space="0" w:sz="4" w:themeColor="text1" w:themeTint="0000A6" w:val="single"/>
        <w:insideV w:color="000000" w:space="0" w:sz="4" w:themeColor="text1" w:themeTint="0000A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Bordered &amp; 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1" w:themeShade="000095" w:val="single"/>
        <w:left w:color="000000" w:space="0" w:sz="4" w:themeColor="accent1" w:themeShade="000095" w:val="single"/>
        <w:bottom w:color="000000" w:space="0" w:sz="4" w:themeColor="accent1" w:themeShade="000095" w:val="single"/>
        <w:right w:color="000000" w:space="0" w:sz="4" w:themeColor="accent1" w:themeShade="000095" w:val="single"/>
        <w:insideH w:color="000000" w:space="0" w:sz="4" w:themeColor="accent1" w:themeShade="000095" w:val="single"/>
        <w:insideV w:color="000000" w:space="0" w:sz="4" w:themeColor="accent1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Bordered &amp; 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2" w:themeShade="000095" w:val="single"/>
        <w:left w:color="000000" w:space="0" w:sz="4" w:themeColor="accent2" w:themeShade="000095" w:val="single"/>
        <w:bottom w:color="000000" w:space="0" w:sz="4" w:themeColor="accent2" w:themeShade="000095" w:val="single"/>
        <w:right w:color="000000" w:space="0" w:sz="4" w:themeColor="accent2" w:themeShade="000095" w:val="single"/>
        <w:insideH w:color="000000" w:space="0" w:sz="4" w:themeColor="accent2" w:themeShade="000095" w:val="single"/>
        <w:insideV w:color="000000" w:space="0" w:sz="4" w:themeColor="accent2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Bordered &amp; 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3" w:themeShade="000095" w:val="single"/>
        <w:left w:color="000000" w:space="0" w:sz="4" w:themeColor="accent3" w:themeShade="000095" w:val="single"/>
        <w:bottom w:color="000000" w:space="0" w:sz="4" w:themeColor="accent3" w:themeShade="000095" w:val="single"/>
        <w:right w:color="000000" w:space="0" w:sz="4" w:themeColor="accent3" w:themeShade="000095" w:val="single"/>
        <w:insideH w:color="000000" w:space="0" w:sz="4" w:themeColor="accent3" w:themeShade="000095" w:val="single"/>
        <w:insideV w:color="000000" w:space="0" w:sz="4" w:themeColor="accent3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Bordered &amp; 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4" w:themeShade="000095" w:val="single"/>
        <w:left w:color="000000" w:space="0" w:sz="4" w:themeColor="accent4" w:themeShade="000095" w:val="single"/>
        <w:bottom w:color="000000" w:space="0" w:sz="4" w:themeColor="accent4" w:themeShade="000095" w:val="single"/>
        <w:right w:color="000000" w:space="0" w:sz="4" w:themeColor="accent4" w:themeShade="000095" w:val="single"/>
        <w:insideH w:color="000000" w:space="0" w:sz="4" w:themeColor="accent4" w:themeShade="000095" w:val="single"/>
        <w:insideV w:color="000000" w:space="0" w:sz="4" w:themeColor="accent4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Bordered &amp; 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5" w:themeShade="000095" w:val="single"/>
        <w:left w:color="000000" w:space="0" w:sz="4" w:themeColor="accent5" w:themeShade="000095" w:val="single"/>
        <w:bottom w:color="000000" w:space="0" w:sz="4" w:themeColor="accent5" w:themeShade="000095" w:val="single"/>
        <w:right w:color="000000" w:space="0" w:sz="4" w:themeColor="accent5" w:themeShade="000095" w:val="single"/>
        <w:insideH w:color="000000" w:space="0" w:sz="4" w:themeColor="accent5" w:themeShade="000095" w:val="single"/>
        <w:insideV w:color="000000" w:space="0" w:sz="4" w:themeColor="accent5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Bordered &amp; 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6" w:themeShade="000095" w:val="single"/>
        <w:left w:color="000000" w:space="0" w:sz="4" w:themeColor="accent6" w:themeShade="000095" w:val="single"/>
        <w:bottom w:color="000000" w:space="0" w:sz="4" w:themeColor="accent6" w:themeShade="000095" w:val="single"/>
        <w:right w:color="000000" w:space="0" w:sz="4" w:themeColor="accent6" w:themeShade="000095" w:val="single"/>
        <w:insideH w:color="000000" w:space="0" w:sz="4" w:themeColor="accent6" w:themeShade="000095" w:val="single"/>
        <w:insideV w:color="000000" w:space="0" w:sz="4" w:themeColor="accent6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Bordered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26" w:val="single"/>
        <w:left w:color="000000" w:space="0" w:sz="4" w:themeColor="text1" w:themeTint="000026" w:val="single"/>
        <w:bottom w:color="000000" w:space="0" w:sz="4" w:themeColor="text1" w:themeTint="000026" w:val="single"/>
        <w:right w:color="000000" w:space="0" w:sz="4" w:themeColor="text1" w:themeTint="000026" w:val="single"/>
        <w:insideH w:color="000000" w:space="0" w:sz="4" w:themeColor="text1" w:themeTint="000026" w:val="single"/>
        <w:insideV w:color="000000" w:space="0" w:sz="4" w:themeColor="text1" w:themeTint="00002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26" w:val="single"/>
          <w:left w:color="000000" w:space="0" w:sz="4" w:themeColor="text1" w:themeTint="000026" w:val="single"/>
          <w:bottom w:color="000000" w:space="0" w:sz="4" w:themeColor="text1" w:themeTint="000026" w:val="single"/>
          <w:right w:color="000000" w:space="0" w:sz="4" w:themeColor="text1" w:themeTint="000026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Bordered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1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Bordered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Bordered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3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Bordered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Bordered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5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Bordered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6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07">
    <w:name w:val="Hyperlink"/>
    <w:uiPriority w:val="99"/>
    <w:unhideWhenUsed w:val="1"/>
    <w:pPr>
      <w:pBdr/>
      <w:spacing/>
      <w:ind/>
    </w:pPr>
    <w:rPr>
      <w:color w:val="0000ff" w:themeColor="hyperlink"/>
      <w:u w:val="single"/>
    </w:rPr>
  </w:style>
  <w:style w:type="paragraph" w:styleId="908">
    <w:name w:val="footnote text"/>
    <w:basedOn w:val="934"/>
    <w:link w:val="909"/>
    <w:uiPriority w:val="99"/>
    <w:semiHidden w:val="1"/>
    <w:unhideWhenUsed w:val="1"/>
    <w:pPr>
      <w:pBdr/>
      <w:spacing w:after="40" w:line="240" w:lineRule="auto"/>
      <w:ind/>
    </w:pPr>
    <w:rPr>
      <w:sz w:val="18"/>
    </w:rPr>
  </w:style>
  <w:style w:type="character" w:styleId="909">
    <w:name w:val="Footnote Text Char"/>
    <w:link w:val="908"/>
    <w:uiPriority w:val="99"/>
    <w:pPr>
      <w:pBdr/>
      <w:spacing/>
      <w:ind/>
    </w:pPr>
    <w:rPr>
      <w:sz w:val="18"/>
    </w:rPr>
  </w:style>
  <w:style w:type="character" w:styleId="910">
    <w:name w:val="footnote reference"/>
    <w:basedOn w:val="935"/>
    <w:uiPriority w:val="99"/>
    <w:unhideWhenUsed w:val="1"/>
    <w:pPr>
      <w:pBdr/>
      <w:spacing/>
      <w:ind/>
    </w:pPr>
    <w:rPr>
      <w:vertAlign w:val="superscript"/>
    </w:rPr>
  </w:style>
  <w:style w:type="paragraph" w:styleId="911">
    <w:name w:val="endnote text"/>
    <w:basedOn w:val="934"/>
    <w:link w:val="912"/>
    <w:uiPriority w:val="99"/>
    <w:semiHidden w:val="1"/>
    <w:unhideWhenUsed w:val="1"/>
    <w:pPr>
      <w:pBdr/>
      <w:spacing w:after="0" w:line="240" w:lineRule="auto"/>
      <w:ind/>
    </w:pPr>
    <w:rPr>
      <w:sz w:val="20"/>
    </w:rPr>
  </w:style>
  <w:style w:type="character" w:styleId="912">
    <w:name w:val="Endnote Text Char"/>
    <w:link w:val="911"/>
    <w:uiPriority w:val="99"/>
    <w:pPr>
      <w:pBdr/>
      <w:spacing/>
      <w:ind/>
    </w:pPr>
    <w:rPr>
      <w:sz w:val="20"/>
    </w:rPr>
  </w:style>
  <w:style w:type="character" w:styleId="913">
    <w:name w:val="endnote reference"/>
    <w:basedOn w:val="935"/>
    <w:uiPriority w:val="99"/>
    <w:semiHidden w:val="1"/>
    <w:unhideWhenUsed w:val="1"/>
    <w:pPr>
      <w:pBdr/>
      <w:spacing/>
      <w:ind/>
    </w:pPr>
    <w:rPr>
      <w:vertAlign w:val="superscript"/>
    </w:rPr>
  </w:style>
  <w:style w:type="paragraph" w:styleId="914">
    <w:name w:val="toc 1"/>
    <w:basedOn w:val="934"/>
    <w:next w:val="934"/>
    <w:uiPriority w:val="39"/>
    <w:unhideWhenUsed w:val="1"/>
    <w:pPr>
      <w:pBdr/>
      <w:spacing w:after="57"/>
      <w:ind w:left="0" w:right="0" w:firstLine="0"/>
    </w:pPr>
  </w:style>
  <w:style w:type="paragraph" w:styleId="915">
    <w:name w:val="toc 2"/>
    <w:basedOn w:val="934"/>
    <w:next w:val="934"/>
    <w:uiPriority w:val="39"/>
    <w:unhideWhenUsed w:val="1"/>
    <w:pPr>
      <w:pBdr/>
      <w:spacing w:after="57"/>
      <w:ind w:left="283" w:right="0" w:firstLine="0"/>
    </w:pPr>
  </w:style>
  <w:style w:type="paragraph" w:styleId="916">
    <w:name w:val="toc 3"/>
    <w:basedOn w:val="934"/>
    <w:next w:val="934"/>
    <w:uiPriority w:val="39"/>
    <w:unhideWhenUsed w:val="1"/>
    <w:pPr>
      <w:pBdr/>
      <w:spacing w:after="57"/>
      <w:ind w:left="567" w:right="0" w:firstLine="0"/>
    </w:pPr>
  </w:style>
  <w:style w:type="paragraph" w:styleId="917">
    <w:name w:val="toc 4"/>
    <w:basedOn w:val="934"/>
    <w:next w:val="934"/>
    <w:uiPriority w:val="39"/>
    <w:unhideWhenUsed w:val="1"/>
    <w:pPr>
      <w:pBdr/>
      <w:spacing w:after="57"/>
      <w:ind w:left="850" w:right="0" w:firstLine="0"/>
    </w:pPr>
  </w:style>
  <w:style w:type="paragraph" w:styleId="918">
    <w:name w:val="toc 5"/>
    <w:basedOn w:val="934"/>
    <w:next w:val="934"/>
    <w:uiPriority w:val="39"/>
    <w:unhideWhenUsed w:val="1"/>
    <w:pPr>
      <w:pBdr/>
      <w:spacing w:after="57"/>
      <w:ind w:left="1134" w:right="0" w:firstLine="0"/>
    </w:pPr>
  </w:style>
  <w:style w:type="paragraph" w:styleId="919">
    <w:name w:val="toc 6"/>
    <w:basedOn w:val="934"/>
    <w:next w:val="934"/>
    <w:uiPriority w:val="39"/>
    <w:unhideWhenUsed w:val="1"/>
    <w:pPr>
      <w:pBdr/>
      <w:spacing w:after="57"/>
      <w:ind w:left="1417" w:right="0" w:firstLine="0"/>
    </w:pPr>
  </w:style>
  <w:style w:type="paragraph" w:styleId="920">
    <w:name w:val="toc 7"/>
    <w:basedOn w:val="934"/>
    <w:next w:val="934"/>
    <w:uiPriority w:val="39"/>
    <w:unhideWhenUsed w:val="1"/>
    <w:pPr>
      <w:pBdr/>
      <w:spacing w:after="57"/>
      <w:ind w:left="1701" w:right="0" w:firstLine="0"/>
    </w:pPr>
  </w:style>
  <w:style w:type="paragraph" w:styleId="921">
    <w:name w:val="toc 8"/>
    <w:basedOn w:val="934"/>
    <w:next w:val="934"/>
    <w:uiPriority w:val="39"/>
    <w:unhideWhenUsed w:val="1"/>
    <w:pPr>
      <w:pBdr/>
      <w:spacing w:after="57"/>
      <w:ind w:left="1984" w:right="0" w:firstLine="0"/>
    </w:pPr>
  </w:style>
  <w:style w:type="paragraph" w:styleId="922">
    <w:name w:val="toc 9"/>
    <w:basedOn w:val="934"/>
    <w:next w:val="934"/>
    <w:uiPriority w:val="39"/>
    <w:unhideWhenUsed w:val="1"/>
    <w:pPr>
      <w:pBdr/>
      <w:spacing w:after="57"/>
      <w:ind w:left="2268" w:right="0" w:firstLine="0"/>
    </w:pPr>
  </w:style>
  <w:style w:type="paragraph" w:styleId="923">
    <w:name w:val="TOC Heading"/>
    <w:uiPriority w:val="39"/>
    <w:unhideWhenUsed w:val="1"/>
    <w:pPr>
      <w:pBdr/>
      <w:spacing/>
      <w:ind/>
    </w:pPr>
  </w:style>
  <w:style w:type="paragraph" w:styleId="924">
    <w:name w:val="table of figures"/>
    <w:basedOn w:val="934"/>
    <w:next w:val="934"/>
    <w:uiPriority w:val="99"/>
    <w:unhideWhenUsed w:val="1"/>
    <w:pPr>
      <w:pBdr/>
      <w:spacing w:after="0" w:afterAutospacing="0"/>
      <w:ind/>
    </w:pPr>
  </w:style>
  <w:style w:type="paragraph" w:styleId="925">
    <w:name w:val="Normal"/>
    <w:pPr>
      <w:pBdr/>
      <w:spacing/>
      <w:ind/>
    </w:pPr>
  </w:style>
  <w:style w:type="table" w:styleId="926">
    <w:name w:val="Table Normal"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27">
    <w:name w:val="Heading 1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48"/>
      <w:szCs w:val="48"/>
    </w:rPr>
  </w:style>
  <w:style w:type="paragraph" w:styleId="928">
    <w:name w:val="Heading 2"/>
    <w:basedOn w:val="925"/>
    <w:next w:val="925"/>
    <w:pPr>
      <w:keepNext w:val="1"/>
      <w:keepLines w:val="1"/>
      <w:pageBreakBefore w:val="0"/>
      <w:pBdr/>
      <w:spacing w:after="80" w:before="360"/>
      <w:ind/>
    </w:pPr>
    <w:rPr>
      <w:b w:val="1"/>
      <w:sz w:val="36"/>
      <w:szCs w:val="36"/>
    </w:rPr>
  </w:style>
  <w:style w:type="paragraph" w:styleId="929">
    <w:name w:val="Heading 3"/>
    <w:basedOn w:val="925"/>
    <w:next w:val="925"/>
    <w:pPr>
      <w:keepNext w:val="1"/>
      <w:keepLines w:val="1"/>
      <w:pageBreakBefore w:val="0"/>
      <w:pBdr/>
      <w:spacing w:after="80" w:before="280"/>
      <w:ind/>
    </w:pPr>
    <w:rPr>
      <w:b w:val="1"/>
      <w:sz w:val="28"/>
      <w:szCs w:val="28"/>
    </w:rPr>
  </w:style>
  <w:style w:type="paragraph" w:styleId="930">
    <w:name w:val="Heading 4"/>
    <w:basedOn w:val="925"/>
    <w:next w:val="925"/>
    <w:pPr>
      <w:keepNext w:val="1"/>
      <w:keepLines w:val="1"/>
      <w:pageBreakBefore w:val="0"/>
      <w:pBdr/>
      <w:spacing w:after="40" w:before="240"/>
      <w:ind/>
    </w:pPr>
    <w:rPr>
      <w:b w:val="1"/>
      <w:sz w:val="24"/>
      <w:szCs w:val="24"/>
    </w:rPr>
  </w:style>
  <w:style w:type="paragraph" w:styleId="931">
    <w:name w:val="Heading 5"/>
    <w:basedOn w:val="925"/>
    <w:next w:val="925"/>
    <w:pPr>
      <w:keepNext w:val="1"/>
      <w:keepLines w:val="1"/>
      <w:pageBreakBefore w:val="0"/>
      <w:pBdr/>
      <w:spacing w:after="40" w:before="220"/>
      <w:ind/>
    </w:pPr>
    <w:rPr>
      <w:b w:val="1"/>
      <w:sz w:val="22"/>
      <w:szCs w:val="22"/>
    </w:rPr>
  </w:style>
  <w:style w:type="paragraph" w:styleId="932">
    <w:name w:val="Heading 6"/>
    <w:basedOn w:val="925"/>
    <w:next w:val="925"/>
    <w:pPr>
      <w:keepNext w:val="1"/>
      <w:keepLines w:val="1"/>
      <w:pageBreakBefore w:val="0"/>
      <w:pBdr/>
      <w:spacing w:after="40" w:before="200"/>
      <w:ind/>
    </w:pPr>
    <w:rPr>
      <w:b w:val="1"/>
      <w:sz w:val="20"/>
      <w:szCs w:val="20"/>
    </w:rPr>
  </w:style>
  <w:style w:type="paragraph" w:styleId="933">
    <w:name w:val="Title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72"/>
      <w:szCs w:val="72"/>
    </w:rPr>
  </w:style>
  <w:style w:type="paragraph" w:styleId="934">
    <w:name w:val="Normal"/>
    <w:qFormat w:val="1"/>
    <w:pPr>
      <w:pBdr/>
      <w:spacing/>
      <w:ind/>
    </w:pPr>
  </w:style>
  <w:style w:type="character" w:styleId="935" w:default="1">
    <w:name w:val="Default Paragraph Font"/>
    <w:uiPriority w:val="1"/>
    <w:semiHidden w:val="1"/>
    <w:unhideWhenUsed w:val="1"/>
    <w:pPr>
      <w:pBdr/>
      <w:spacing/>
      <w:ind/>
    </w:pPr>
  </w:style>
  <w:style w:type="table" w:styleId="936" w:default="1">
    <w:name w:val="Normal Table"/>
    <w:uiPriority w:val="99"/>
    <w:semiHidden w:val="1"/>
    <w:unhideWhenUsed w:val="1"/>
    <w:pPr>
      <w:pBdr/>
      <w:spacing/>
      <w:ind/>
    </w:pPr>
    <w:tblPr>
      <w:tblInd w:w="0.0" w:type="dxa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37" w:default="1">
    <w:name w:val="No List"/>
    <w:uiPriority w:val="99"/>
    <w:semiHidden w:val="1"/>
    <w:unhideWhenUsed w:val="1"/>
    <w:pPr>
      <w:pBdr/>
      <w:spacing/>
      <w:ind/>
    </w:pPr>
  </w:style>
  <w:style w:type="table" w:styleId="938">
    <w:name w:val="Table Grid"/>
    <w:basedOn w:val="936"/>
    <w:uiPriority w:val="39"/>
    <w:pPr>
      <w:pBdr/>
      <w:spacing w:after="0" w:line="240" w:lineRule="auto"/>
      <w:ind/>
    </w:pPr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9">
    <w:name w:val="List Paragraph"/>
    <w:basedOn w:val="934"/>
    <w:uiPriority w:val="34"/>
    <w:qFormat w:val="1"/>
    <w:pPr>
      <w:pBdr/>
      <w:spacing/>
      <w:ind w:left="720"/>
      <w:contextualSpacing w:val="1"/>
    </w:pPr>
  </w:style>
  <w:style w:type="paragraph" w:styleId="940">
    <w:name w:val="Subtitle"/>
    <w:basedOn w:val="925"/>
    <w:next w:val="925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color="auto"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color="auto" w:fill="auto" w:val="clear"/>
      <w:vertAlign w:val="baseline"/>
    </w:rPr>
  </w:style>
  <w:style w:type="table" w:styleId="941">
    <w:name w:val="StGen1"/>
    <w:basedOn w:val="926"/>
    <w:pPr>
      <w:pBdr/>
      <w:spacing w:after="0" w:line="240" w:lineRule="auto"/>
      <w:ind/>
    </w:pPr>
    <w:tblPr>
      <w:tblStyleRowBandSize w:val="1"/>
      <w:tblStyleColBandSize w:val="1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4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/RGfIB7CButJsf7m0nUUSfithg==">CgMxLjA4AHIhMXM3d194Umc4YVZIcXZDdWt3bl82QzlaeHlCNHhPOVl3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2022-07-03T16:48:00Z</dcterms:created>
  <dc:creator>Piergiuseppe Ellerani</dc:creator>
</cp:coreProperties>
</file>